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sponsored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up@betterhelp.com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indelible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Porterfield,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showcasing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commendable.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NBCI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Porterfield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Khama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Ennis,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prevalence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redlining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redlining,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Cortisol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Cortisol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redlining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under-resourced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1864.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1864.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Rebecca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Crumpler.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Khama 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Rosenthal,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Katrina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Orleans,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unwavering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Orleans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irritating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pockets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headquarters.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Grisham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headquarters.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pockets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amateur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Sandy Rosenthal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likewise,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charisma,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gesturing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nowadays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anxious?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roommate?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Jenny 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win-win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dropouts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perseverance,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ib5t6nJioSdbuxF0Qjue4k2S9bHpvYyV5dPgksRkgTPAFutt6DCayI9wNZgnHHjwBykOPJ--G2lWxLRdPUKGDVzyZBc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